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1AD1A6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27ED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732DDA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978B45" w14:textId="77777777" w:rsidR="00732DDA" w:rsidRDefault="00732DDA" w:rsidP="00732DDA">
      <w:pPr>
        <w:rPr>
          <w:rFonts w:ascii="Times New Roman" w:hAnsi="Times New Roman"/>
          <w:sz w:val="24"/>
          <w:szCs w:val="24"/>
        </w:rPr>
      </w:pPr>
      <w:r w:rsidRPr="00A74971">
        <w:rPr>
          <w:rFonts w:ascii="Times New Roman" w:hAnsi="Times New Roman"/>
          <w:sz w:val="24"/>
          <w:szCs w:val="24"/>
        </w:rPr>
        <w:t>Sugerir a instalação de iluminação pública da Rua Morro do Tigre.</w:t>
      </w:r>
    </w:p>
    <w:p w14:paraId="51C6C69C" w14:textId="77777777" w:rsidR="00732DDA" w:rsidRPr="00A74971" w:rsidRDefault="00732DDA" w:rsidP="00732DDA">
      <w:pPr>
        <w:jc w:val="both"/>
        <w:rPr>
          <w:rFonts w:ascii="Times New Roman" w:hAnsi="Times New Roman"/>
          <w:sz w:val="24"/>
          <w:szCs w:val="24"/>
        </w:rPr>
      </w:pPr>
      <w:r w:rsidRPr="00D32955">
        <w:rPr>
          <w:rFonts w:ascii="Times New Roman" w:hAnsi="Times New Roman"/>
          <w:sz w:val="24"/>
          <w:szCs w:val="24"/>
        </w:rPr>
        <w:t>Justifica-se, visto que a ausência de iluminação adequada tem gerado um cenário de insegurança, especialmente para as mulheres que necessitam transitar pela rua à noite para chegar em suas casas após o expediente de trabalho. Além disso, a falta de iluminação pública representa um risco para todos os moradores</w:t>
      </w:r>
      <w:r>
        <w:rPr>
          <w:rFonts w:ascii="Times New Roman" w:hAnsi="Times New Roman"/>
          <w:sz w:val="24"/>
          <w:szCs w:val="24"/>
        </w:rPr>
        <w:t xml:space="preserve"> da região</w:t>
      </w:r>
      <w:r w:rsidRPr="00D32955">
        <w:rPr>
          <w:rFonts w:ascii="Times New Roman" w:hAnsi="Times New Roman"/>
          <w:sz w:val="24"/>
          <w:szCs w:val="24"/>
        </w:rPr>
        <w:t>, pois facilita a ocorrência de crimes e aumenta a sensação de vulnerabilidade. Cabe destacar que, embora os postes já estejam instalados ao longo da via, ainda não há fornecimento de energia elétrica para garantir a iluminação necessária.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7DAF3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732DDA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2025-02-13T16:36:00Z</dcterms:created>
  <dcterms:modified xsi:type="dcterms:W3CDTF">2025-02-13T16:37:00Z</dcterms:modified>
</cp:coreProperties>
</file>