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B8A8F12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B172C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B34B66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3A6732" w14:textId="77777777" w:rsidR="00B34B66" w:rsidRDefault="00B34B66" w:rsidP="00B34B66">
      <w:pPr>
        <w:jc w:val="both"/>
        <w:rPr>
          <w:rFonts w:ascii="Times New Roman" w:hAnsi="Times New Roman"/>
          <w:sz w:val="24"/>
          <w:szCs w:val="24"/>
        </w:rPr>
      </w:pPr>
      <w:r w:rsidRPr="004B1A89">
        <w:rPr>
          <w:rFonts w:ascii="Times New Roman" w:hAnsi="Times New Roman"/>
          <w:sz w:val="24"/>
          <w:szCs w:val="24"/>
        </w:rPr>
        <w:t>Sugerir a realização de</w:t>
      </w:r>
      <w:r>
        <w:rPr>
          <w:rFonts w:ascii="Times New Roman" w:hAnsi="Times New Roman"/>
          <w:sz w:val="24"/>
          <w:szCs w:val="24"/>
        </w:rPr>
        <w:t xml:space="preserve"> estudo técnico para a</w:t>
      </w:r>
      <w:r w:rsidRPr="004B1A89">
        <w:rPr>
          <w:rFonts w:ascii="Times New Roman" w:hAnsi="Times New Roman"/>
          <w:sz w:val="24"/>
          <w:szCs w:val="24"/>
        </w:rPr>
        <w:t xml:space="preserve"> revisão da Lei nº 66/2008, que Dispõe Sobre </w:t>
      </w:r>
      <w:r>
        <w:rPr>
          <w:rFonts w:ascii="Times New Roman" w:hAnsi="Times New Roman"/>
          <w:sz w:val="24"/>
          <w:szCs w:val="24"/>
        </w:rPr>
        <w:t>o</w:t>
      </w:r>
      <w:r w:rsidRPr="004B1A89">
        <w:rPr>
          <w:rFonts w:ascii="Times New Roman" w:hAnsi="Times New Roman"/>
          <w:sz w:val="24"/>
          <w:szCs w:val="24"/>
        </w:rPr>
        <w:t xml:space="preserve"> Imposto Sobre </w:t>
      </w:r>
      <w:r>
        <w:rPr>
          <w:rFonts w:ascii="Times New Roman" w:hAnsi="Times New Roman"/>
          <w:sz w:val="24"/>
          <w:szCs w:val="24"/>
        </w:rPr>
        <w:t>a</w:t>
      </w:r>
      <w:r w:rsidRPr="004B1A89">
        <w:rPr>
          <w:rFonts w:ascii="Times New Roman" w:hAnsi="Times New Roman"/>
          <w:sz w:val="24"/>
          <w:szCs w:val="24"/>
        </w:rPr>
        <w:t xml:space="preserve"> Propriedade Predial </w:t>
      </w:r>
      <w:r>
        <w:rPr>
          <w:rFonts w:ascii="Times New Roman" w:hAnsi="Times New Roman"/>
          <w:sz w:val="24"/>
          <w:szCs w:val="24"/>
        </w:rPr>
        <w:t>e</w:t>
      </w:r>
      <w:r w:rsidRPr="004B1A89">
        <w:rPr>
          <w:rFonts w:ascii="Times New Roman" w:hAnsi="Times New Roman"/>
          <w:sz w:val="24"/>
          <w:szCs w:val="24"/>
        </w:rPr>
        <w:t xml:space="preserve"> Territorial Urbana </w:t>
      </w:r>
      <w:r>
        <w:rPr>
          <w:rFonts w:ascii="Times New Roman" w:hAnsi="Times New Roman"/>
          <w:sz w:val="24"/>
          <w:szCs w:val="24"/>
        </w:rPr>
        <w:t>–</w:t>
      </w:r>
      <w:r w:rsidRPr="004B1A89">
        <w:rPr>
          <w:rFonts w:ascii="Times New Roman" w:hAnsi="Times New Roman"/>
          <w:sz w:val="24"/>
          <w:szCs w:val="24"/>
        </w:rPr>
        <w:t xml:space="preserve"> IPTU</w:t>
      </w:r>
      <w:r>
        <w:rPr>
          <w:rFonts w:ascii="Times New Roman" w:hAnsi="Times New Roman"/>
          <w:sz w:val="24"/>
          <w:szCs w:val="24"/>
        </w:rPr>
        <w:t>, e</w:t>
      </w:r>
      <w:r w:rsidRPr="004B1A89">
        <w:rPr>
          <w:rFonts w:ascii="Times New Roman" w:hAnsi="Times New Roman"/>
          <w:sz w:val="24"/>
          <w:szCs w:val="24"/>
        </w:rPr>
        <w:t>specialmente no que se refere à base de cálculo e à aplicação das alíquotas</w:t>
      </w:r>
      <w:r>
        <w:rPr>
          <w:rFonts w:ascii="Times New Roman" w:hAnsi="Times New Roman"/>
          <w:sz w:val="24"/>
          <w:szCs w:val="24"/>
        </w:rPr>
        <w:t>.</w:t>
      </w:r>
    </w:p>
    <w:p w14:paraId="2795B2D2" w14:textId="77777777" w:rsidR="00B34B66" w:rsidRDefault="00B34B66" w:rsidP="00B34B66">
      <w:pPr>
        <w:jc w:val="both"/>
        <w:rPr>
          <w:rFonts w:ascii="Times New Roman" w:hAnsi="Times New Roman"/>
          <w:sz w:val="24"/>
          <w:szCs w:val="24"/>
        </w:rPr>
      </w:pPr>
      <w:r w:rsidRPr="00777C62">
        <w:rPr>
          <w:rFonts w:ascii="Times New Roman" w:hAnsi="Times New Roman"/>
          <w:sz w:val="24"/>
          <w:szCs w:val="24"/>
        </w:rPr>
        <w:t>Justifica-</w:t>
      </w:r>
      <w:r>
        <w:rPr>
          <w:rFonts w:ascii="Times New Roman" w:hAnsi="Times New Roman"/>
          <w:sz w:val="24"/>
          <w:szCs w:val="24"/>
        </w:rPr>
        <w:t>se</w:t>
      </w:r>
      <w:r w:rsidRPr="00777C62">
        <w:rPr>
          <w:rFonts w:ascii="Times New Roman" w:hAnsi="Times New Roman"/>
          <w:sz w:val="24"/>
          <w:szCs w:val="24"/>
        </w:rPr>
        <w:t xml:space="preserve"> pela necessidade de aperfeiçoar a legislação, tornando-a mais equilibrada e alinhada à realidade socioeconômica da população. Destaca-se a importância de revisar as regras de isenção, considerando o tipo e a localização do imóvel, para garantir maior justiça na concessão de benefícios fiscais. Além disso, busca-se evitar aumentos abruptos no imposto decorrentes de atualizações cadastrais, por meio da adoção de critérios mais claros e justos, promovendo maior equidade na cobrança.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D7C5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3162C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2026-04-13T17:36:00Z</dcterms:created>
  <dcterms:modified xsi:type="dcterms:W3CDTF">2026-04-13T17:36:00Z</dcterms:modified>
</cp:coreProperties>
</file>